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09AA" w14:textId="0C533126" w:rsidR="00F917FE" w:rsidRPr="009C164F" w:rsidRDefault="002922B4" w:rsidP="0070258D">
      <w:pPr>
        <w:rPr>
          <w:b/>
          <w:bCs/>
          <w:sz w:val="32"/>
          <w:szCs w:val="32"/>
        </w:rPr>
      </w:pPr>
      <w:r>
        <w:rPr>
          <w:b/>
          <w:bCs/>
          <w:sz w:val="32"/>
          <w:szCs w:val="32"/>
        </w:rPr>
        <w:t>P</w:t>
      </w:r>
      <w:r w:rsidR="00F917FE" w:rsidRPr="009C164F">
        <w:rPr>
          <w:b/>
          <w:bCs/>
          <w:sz w:val="32"/>
          <w:szCs w:val="32"/>
        </w:rPr>
        <w:t>rocedure for indberetning</w:t>
      </w:r>
    </w:p>
    <w:p w14:paraId="665B8AE0" w14:textId="77777777" w:rsidR="0070258D" w:rsidRDefault="0070258D" w:rsidP="00F917FE"/>
    <w:p w14:paraId="08906EDB" w14:textId="247A7238" w:rsidR="009711DB" w:rsidRPr="003A3668" w:rsidRDefault="009F47DF" w:rsidP="00F917FE">
      <w:r w:rsidRPr="003A3668">
        <w:t xml:space="preserve">Dette er </w:t>
      </w:r>
      <w:r w:rsidR="00920F46" w:rsidRPr="003A3668">
        <w:t>Slagelse Gymnasium</w:t>
      </w:r>
      <w:r w:rsidR="00F822F3" w:rsidRPr="003A3668">
        <w:t>s</w:t>
      </w:r>
      <w:r w:rsidR="009C164F" w:rsidRPr="003A3668">
        <w:t xml:space="preserve"> procedure for, hvordan der foretages indberetning til skolens whistleblowerenhed. Proceduren er gjort offentlig tilgængelig på </w:t>
      </w:r>
      <w:r w:rsidR="00920F46" w:rsidRPr="003A3668">
        <w:t>Slagelse Gymnasium</w:t>
      </w:r>
      <w:r w:rsidR="00F822F3" w:rsidRPr="003A3668">
        <w:t>s</w:t>
      </w:r>
      <w:r w:rsidR="009C164F" w:rsidRPr="003A3668">
        <w:t xml:space="preserve"> hjemmeside.</w:t>
      </w:r>
    </w:p>
    <w:p w14:paraId="0DCF302D" w14:textId="2C565DE9" w:rsidR="00C0589C" w:rsidRPr="003A3668" w:rsidRDefault="00704BE6" w:rsidP="00F917FE">
      <w:r w:rsidRPr="003A3668">
        <w:t>Whistleblowerordningen skal blandt andet forbedre mulighederne for, at medarbejdere</w:t>
      </w:r>
      <w:r w:rsidRPr="003A3668">
        <w:rPr>
          <w:i/>
          <w:iCs/>
        </w:rPr>
        <w:t xml:space="preserve"> </w:t>
      </w:r>
      <w:r w:rsidRPr="003A3668">
        <w:t>kan pege på og udtale sig om kritiske forhold, uden de behøver at frygte, at det får negative konsekvenser.</w:t>
      </w:r>
    </w:p>
    <w:p w14:paraId="356DA1CF" w14:textId="77777777" w:rsidR="00425AEE" w:rsidRPr="003A3668" w:rsidRDefault="00704BE6" w:rsidP="00425AEE">
      <w:pPr>
        <w:spacing w:after="0"/>
        <w:rPr>
          <w:b/>
          <w:bCs/>
          <w:i/>
          <w:iCs/>
        </w:rPr>
      </w:pPr>
      <w:r w:rsidRPr="003A3668">
        <w:rPr>
          <w:b/>
          <w:bCs/>
          <w:i/>
          <w:iCs/>
        </w:rPr>
        <w:t>Hvilke rettigheder har du som whistleblow</w:t>
      </w:r>
      <w:r w:rsidR="00425AEE" w:rsidRPr="003A3668">
        <w:rPr>
          <w:b/>
          <w:bCs/>
          <w:i/>
          <w:iCs/>
        </w:rPr>
        <w:t>e</w:t>
      </w:r>
      <w:r w:rsidRPr="003A3668">
        <w:rPr>
          <w:b/>
          <w:bCs/>
          <w:i/>
          <w:iCs/>
        </w:rPr>
        <w:t>r</w:t>
      </w:r>
    </w:p>
    <w:p w14:paraId="083D06A7" w14:textId="23ED2F99" w:rsidR="00704BE6" w:rsidRPr="003A3668" w:rsidRDefault="00920F46" w:rsidP="00425AEE">
      <w:pPr>
        <w:spacing w:after="0"/>
        <w:rPr>
          <w:b/>
          <w:bCs/>
          <w:i/>
          <w:iCs/>
        </w:rPr>
      </w:pPr>
      <w:r w:rsidRPr="003A3668">
        <w:rPr>
          <w:rFonts w:eastAsia="Times New Roman" w:cstheme="minorHAnsi"/>
          <w:lang w:eastAsia="da-DK"/>
        </w:rPr>
        <w:t>Slagelse Gymnasium</w:t>
      </w:r>
      <w:r w:rsidR="00425AEE" w:rsidRPr="003A3668">
        <w:rPr>
          <w:rFonts w:eastAsia="Times New Roman" w:cstheme="minorHAnsi"/>
          <w:lang w:eastAsia="da-DK"/>
        </w:rPr>
        <w:t xml:space="preserve"> sikrer, at din identitet og de oplysninger</w:t>
      </w:r>
      <w:r w:rsidR="00377A33" w:rsidRPr="003A3668">
        <w:rPr>
          <w:rFonts w:eastAsia="Times New Roman" w:cstheme="minorHAnsi"/>
          <w:lang w:eastAsia="da-DK"/>
        </w:rPr>
        <w:t>,</w:t>
      </w:r>
      <w:r w:rsidR="00425AEE" w:rsidRPr="003A3668">
        <w:rPr>
          <w:rFonts w:eastAsia="Times New Roman" w:cstheme="minorHAnsi"/>
          <w:lang w:eastAsia="da-DK"/>
        </w:rPr>
        <w:t xml:space="preserve"> du </w:t>
      </w:r>
      <w:r w:rsidR="00377A33" w:rsidRPr="003A3668">
        <w:rPr>
          <w:rFonts w:eastAsia="Times New Roman" w:cstheme="minorHAnsi"/>
          <w:lang w:eastAsia="da-DK"/>
        </w:rPr>
        <w:t xml:space="preserve">indberetter, </w:t>
      </w:r>
      <w:r w:rsidR="00425AEE" w:rsidRPr="003A3668">
        <w:rPr>
          <w:rFonts w:eastAsia="Times New Roman" w:cstheme="minorHAnsi"/>
          <w:lang w:eastAsia="da-DK"/>
        </w:rPr>
        <w:t>behandles med fortrolighed</w:t>
      </w:r>
      <w:r w:rsidR="00704BE6" w:rsidRPr="003A3668">
        <w:rPr>
          <w:rFonts w:eastAsia="Times New Roman" w:cstheme="minorHAnsi"/>
          <w:lang w:eastAsia="da-DK"/>
        </w:rPr>
        <w:t>. Whistleblowerenheden er underlagt en meget streng tavshedspligt.</w:t>
      </w:r>
    </w:p>
    <w:p w14:paraId="4D8EEFC6" w14:textId="77777777" w:rsidR="00920F46" w:rsidRPr="003A3668" w:rsidRDefault="00920F46" w:rsidP="00377A33">
      <w:pPr>
        <w:spacing w:after="0" w:line="240" w:lineRule="auto"/>
        <w:rPr>
          <w:rFonts w:eastAsia="Times New Roman" w:cstheme="minorHAnsi"/>
          <w:lang w:eastAsia="da-DK"/>
        </w:rPr>
      </w:pPr>
    </w:p>
    <w:p w14:paraId="37B31F74" w14:textId="02ECB2AB" w:rsidR="00377A33" w:rsidRPr="003A3668" w:rsidRDefault="00377A33" w:rsidP="00377A33">
      <w:pPr>
        <w:spacing w:after="0" w:line="240" w:lineRule="auto"/>
        <w:rPr>
          <w:rFonts w:eastAsia="Times New Roman" w:cstheme="minorHAnsi"/>
          <w:lang w:eastAsia="da-DK"/>
        </w:rPr>
      </w:pPr>
      <w:r w:rsidRPr="003A3668">
        <w:rPr>
          <w:rFonts w:eastAsia="Times New Roman" w:cstheme="minorHAnsi"/>
          <w:lang w:eastAsia="da-DK"/>
        </w:rPr>
        <w:t>Hvis du indberetter til whistleblowerordningen, er du beskyttet mod negative konsekvenser forbundet med en indberetning afgivet i god tro. En indberetning er afgivet i god tro, når du havde rimelig grund til at antage, at de indberettede oplysninger var korrekte på tidspunktet for indberetningen, og at oplysningerne var omfattet af whistleblowerordningen.</w:t>
      </w:r>
    </w:p>
    <w:p w14:paraId="6DCA765C" w14:textId="77777777" w:rsidR="00377A33" w:rsidRPr="003A3668" w:rsidRDefault="00377A33" w:rsidP="00377A33">
      <w:p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Hvis du indgiver en indberetning i ond tro, kan det få negative konsekvenser for dig, og i særlige tilfælde kan der være grundlag for politianmeldelse.</w:t>
      </w:r>
    </w:p>
    <w:p w14:paraId="0EDE1CFC" w14:textId="7A0A9F93" w:rsidR="00CE4FF6" w:rsidRPr="003A3668" w:rsidRDefault="00377A33" w:rsidP="00377A33">
      <w:p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Hvis du som ansat oplever at blive mødt med ansættelsesretlige konsekvenser, fordi du har benyttet whistleblowerordningen, vil vi opfordre dig til at henvende dig til whistleblowerenheden, din tillidsrepræsentant eller faglige organisation.</w:t>
      </w:r>
    </w:p>
    <w:p w14:paraId="1E9BE8C4" w14:textId="7A0A9F93" w:rsidR="00704BE6" w:rsidRPr="003A3668" w:rsidRDefault="00704BE6" w:rsidP="00CE4FF6">
      <w:pPr>
        <w:spacing w:after="0" w:line="240" w:lineRule="auto"/>
        <w:rPr>
          <w:rFonts w:eastAsia="Times New Roman" w:cstheme="minorHAnsi"/>
          <w:lang w:eastAsia="da-DK"/>
        </w:rPr>
      </w:pPr>
      <w:r w:rsidRPr="003A3668">
        <w:rPr>
          <w:b/>
          <w:bCs/>
          <w:i/>
          <w:iCs/>
        </w:rPr>
        <w:t xml:space="preserve">Hvilke rettigheder har personer berørt af din indberetning  </w:t>
      </w:r>
    </w:p>
    <w:p w14:paraId="582553B5" w14:textId="121F5764" w:rsidR="00CE4FF6" w:rsidRPr="003A3668" w:rsidRDefault="00920F46" w:rsidP="00CE4FF6">
      <w:pPr>
        <w:spacing w:after="0" w:line="240" w:lineRule="auto"/>
        <w:rPr>
          <w:rFonts w:eastAsia="Times New Roman" w:cstheme="minorHAnsi"/>
          <w:lang w:eastAsia="da-DK"/>
        </w:rPr>
      </w:pPr>
      <w:r w:rsidRPr="003A3668">
        <w:rPr>
          <w:rFonts w:eastAsia="Times New Roman" w:cstheme="minorHAnsi"/>
          <w:lang w:eastAsia="da-DK"/>
        </w:rPr>
        <w:t xml:space="preserve">Slagelse Gymnasium </w:t>
      </w:r>
      <w:r w:rsidR="00704BE6" w:rsidRPr="003A3668">
        <w:rPr>
          <w:rFonts w:eastAsia="Times New Roman" w:cstheme="minorHAnsi"/>
          <w:lang w:eastAsia="da-DK"/>
        </w:rPr>
        <w:t>sikrer, at identiteten på den eller de personer, som din indberetning handler om, beskyttes i forbindelse med whistleblowerenhedens sagsbehandling, og at person</w:t>
      </w:r>
      <w:r w:rsidR="00F822F3" w:rsidRPr="003A3668">
        <w:rPr>
          <w:rFonts w:eastAsia="Times New Roman" w:cstheme="minorHAnsi"/>
          <w:lang w:eastAsia="da-DK"/>
        </w:rPr>
        <w:t>(en/</w:t>
      </w:r>
      <w:proofErr w:type="spellStart"/>
      <w:r w:rsidR="00F822F3" w:rsidRPr="003A3668">
        <w:rPr>
          <w:rFonts w:eastAsia="Times New Roman" w:cstheme="minorHAnsi"/>
          <w:lang w:eastAsia="da-DK"/>
        </w:rPr>
        <w:t>erne</w:t>
      </w:r>
      <w:proofErr w:type="spellEnd"/>
      <w:r w:rsidR="00F822F3" w:rsidRPr="003A3668">
        <w:rPr>
          <w:rFonts w:eastAsia="Times New Roman" w:cstheme="minorHAnsi"/>
          <w:lang w:eastAsia="da-DK"/>
        </w:rPr>
        <w:t>)</w:t>
      </w:r>
      <w:r w:rsidR="00704BE6" w:rsidRPr="003A3668">
        <w:rPr>
          <w:rFonts w:eastAsia="Times New Roman" w:cstheme="minorHAnsi"/>
          <w:lang w:eastAsia="da-DK"/>
        </w:rPr>
        <w:t xml:space="preserve"> har adgang til et effektivt forsvar, herunder ved at registrere indberetningen.</w:t>
      </w:r>
    </w:p>
    <w:p w14:paraId="7615A39D" w14:textId="1FD56235" w:rsidR="00377A33" w:rsidRPr="003A3668" w:rsidRDefault="00F917FE" w:rsidP="00CE4FF6">
      <w:pPr>
        <w:spacing w:before="240" w:after="0" w:line="240" w:lineRule="auto"/>
        <w:rPr>
          <w:b/>
          <w:bCs/>
          <w:i/>
          <w:iCs/>
        </w:rPr>
      </w:pPr>
      <w:r w:rsidRPr="003A3668">
        <w:rPr>
          <w:b/>
          <w:bCs/>
          <w:i/>
          <w:iCs/>
        </w:rPr>
        <w:t xml:space="preserve">Hvilke overtrædelser kan der indberettes om i whistleblowerordningen </w:t>
      </w:r>
    </w:p>
    <w:p w14:paraId="1997A1BF" w14:textId="618CD8B4" w:rsidR="00377A33" w:rsidRPr="003A3668" w:rsidRDefault="00920F46" w:rsidP="00377A33">
      <w:pPr>
        <w:spacing w:after="0"/>
        <w:rPr>
          <w:b/>
          <w:bCs/>
          <w:i/>
          <w:iCs/>
        </w:rPr>
      </w:pPr>
      <w:r w:rsidRPr="003A3668">
        <w:rPr>
          <w:rFonts w:eastAsia="Times New Roman" w:cstheme="minorHAnsi"/>
          <w:lang w:eastAsia="da-DK"/>
        </w:rPr>
        <w:t>Slagelse Gymnasium</w:t>
      </w:r>
      <w:r w:rsidR="00F822F3" w:rsidRPr="003A3668">
        <w:rPr>
          <w:rFonts w:eastAsia="Times New Roman" w:cstheme="minorHAnsi"/>
          <w:lang w:eastAsia="da-DK"/>
        </w:rPr>
        <w:t>s</w:t>
      </w:r>
      <w:r w:rsidR="00377A33" w:rsidRPr="003A3668">
        <w:rPr>
          <w:rFonts w:eastAsia="Times New Roman" w:cstheme="minorHAnsi"/>
          <w:lang w:eastAsia="da-DK"/>
        </w:rPr>
        <w:t xml:space="preserve"> whistleblowerordning giver mulighed for, at man fortroligt kan indsende oplysninger om alvorlige lovovertrædelser, øvrige alvorlige forhold mv. til en uvildig whistleblowerenhed, som kan undersøge forholdene nærmere.</w:t>
      </w:r>
    </w:p>
    <w:p w14:paraId="5003AB0C" w14:textId="3AC8DDDD" w:rsidR="009711DB" w:rsidRPr="003A3668" w:rsidRDefault="009711DB" w:rsidP="009711DB">
      <w:p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 xml:space="preserve">Indberetninger skal indgives i god tro og </w:t>
      </w:r>
      <w:r w:rsidR="00377A33" w:rsidRPr="003A3668">
        <w:rPr>
          <w:rFonts w:eastAsia="Times New Roman" w:cstheme="minorHAnsi"/>
          <w:lang w:eastAsia="da-DK"/>
        </w:rPr>
        <w:t>kan f.eks. vedrøre</w:t>
      </w:r>
      <w:r w:rsidRPr="003A3668">
        <w:rPr>
          <w:rFonts w:eastAsia="Times New Roman" w:cstheme="minorHAnsi"/>
          <w:lang w:eastAsia="da-DK"/>
        </w:rPr>
        <w:t>:</w:t>
      </w:r>
    </w:p>
    <w:p w14:paraId="37C5DDB3" w14:textId="77777777" w:rsidR="009711DB" w:rsidRPr="003A3668" w:rsidRDefault="009711DB" w:rsidP="009711DB">
      <w:pPr>
        <w:numPr>
          <w:ilvl w:val="0"/>
          <w:numId w:val="6"/>
        </w:num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strafbare forhold, f.eks. overtrædelse af tavshedspligten, misbrug af økonomiske midler, tyveri, svig, underslæb, bedrageri, bestikkelse mv.,</w:t>
      </w:r>
    </w:p>
    <w:p w14:paraId="3CD6FCE9" w14:textId="77777777" w:rsidR="009711DB" w:rsidRPr="003A3668" w:rsidRDefault="009711DB" w:rsidP="009711DB">
      <w:pPr>
        <w:numPr>
          <w:ilvl w:val="0"/>
          <w:numId w:val="6"/>
        </w:num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grove eller gentagne overtrædelser af lovgivningen, f.eks. lovgivning om magtanvendelse, forvaltningsloven, databeskyttelseslovgivningen, offentlighedsloven mv.,</w:t>
      </w:r>
    </w:p>
    <w:p w14:paraId="1EB14B2A" w14:textId="77777777" w:rsidR="009711DB" w:rsidRPr="003A3668" w:rsidRDefault="009711DB" w:rsidP="009711DB">
      <w:pPr>
        <w:numPr>
          <w:ilvl w:val="0"/>
          <w:numId w:val="6"/>
        </w:num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grove eller gentagne overtrædelser af forvaltningsretlige principper, f.eks. undersøgelsesprincippet, krav om saglighed og proportionalitet mv.,</w:t>
      </w:r>
    </w:p>
    <w:p w14:paraId="129D5FE7" w14:textId="77777777" w:rsidR="009711DB" w:rsidRPr="003A3668" w:rsidRDefault="009711DB" w:rsidP="009711DB">
      <w:pPr>
        <w:numPr>
          <w:ilvl w:val="0"/>
          <w:numId w:val="6"/>
        </w:num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grove eller gentagne overtrædelser af væsentlige interne retningslinjer, f.eks. om tjenesterejser, gaver og regnskabsaflæggelse mv.,</w:t>
      </w:r>
    </w:p>
    <w:p w14:paraId="3A74EBFF" w14:textId="77777777" w:rsidR="009711DB" w:rsidRPr="003A3668" w:rsidRDefault="009711DB" w:rsidP="009711DB">
      <w:pPr>
        <w:numPr>
          <w:ilvl w:val="0"/>
          <w:numId w:val="6"/>
        </w:num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grove personrelaterede konflikter på arbejdspladsen, f.eks. grov chikane, herunder af seksuel karakter, og</w:t>
      </w:r>
    </w:p>
    <w:p w14:paraId="328E6FA0" w14:textId="77777777" w:rsidR="009711DB" w:rsidRPr="003A3668" w:rsidRDefault="009711DB" w:rsidP="009711DB">
      <w:pPr>
        <w:numPr>
          <w:ilvl w:val="0"/>
          <w:numId w:val="6"/>
        </w:num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bevidst vildledning af borgere og samarbejdspartnere.</w:t>
      </w:r>
    </w:p>
    <w:p w14:paraId="1D5D2CBC" w14:textId="577528B9" w:rsidR="009711DB" w:rsidRPr="003A3668" w:rsidRDefault="009711DB" w:rsidP="009711DB">
      <w:p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lastRenderedPageBreak/>
        <w:t>Ordningen omfatter</w:t>
      </w:r>
      <w:r w:rsidR="00377A33" w:rsidRPr="003A3668">
        <w:rPr>
          <w:rFonts w:eastAsia="Times New Roman" w:cstheme="minorHAnsi"/>
          <w:lang w:eastAsia="da-DK"/>
        </w:rPr>
        <w:t xml:space="preserve"> som udgangspunkt</w:t>
      </w:r>
      <w:r w:rsidRPr="003A3668">
        <w:rPr>
          <w:rFonts w:eastAsia="Times New Roman" w:cstheme="minorHAnsi"/>
          <w:lang w:eastAsia="da-DK"/>
        </w:rPr>
        <w:t> </w:t>
      </w:r>
      <w:r w:rsidRPr="003A3668">
        <w:rPr>
          <w:rFonts w:eastAsia="Times New Roman" w:cstheme="minorHAnsi"/>
          <w:b/>
          <w:bCs/>
          <w:lang w:eastAsia="da-DK"/>
        </w:rPr>
        <w:t>ikke</w:t>
      </w:r>
      <w:r w:rsidRPr="003A3668">
        <w:rPr>
          <w:rFonts w:eastAsia="Times New Roman" w:cstheme="minorHAnsi"/>
          <w:lang w:eastAsia="da-DK"/>
        </w:rPr>
        <w:t> indberetninger vedrørende øvrige forhold, f.eks.:</w:t>
      </w:r>
    </w:p>
    <w:p w14:paraId="3A335964" w14:textId="77777777" w:rsidR="009711DB" w:rsidRPr="003A3668" w:rsidRDefault="009711DB" w:rsidP="009711DB">
      <w:pPr>
        <w:numPr>
          <w:ilvl w:val="0"/>
          <w:numId w:val="7"/>
        </w:num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HR-forhold,</w:t>
      </w:r>
    </w:p>
    <w:p w14:paraId="5EF91609" w14:textId="77777777" w:rsidR="009711DB" w:rsidRPr="003A3668" w:rsidRDefault="009711DB" w:rsidP="009711DB">
      <w:pPr>
        <w:numPr>
          <w:ilvl w:val="0"/>
          <w:numId w:val="7"/>
        </w:num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oplysninger om mindre væsentlige overtrædelser af interne retningslinjer, f.eks. om sygefravær, rygning, alkohol, påklædning, brug af kontorartikler mv., og</w:t>
      </w:r>
    </w:p>
    <w:p w14:paraId="14CF46C4" w14:textId="77777777" w:rsidR="009711DB" w:rsidRPr="003A3668" w:rsidRDefault="009711DB" w:rsidP="009711DB">
      <w:pPr>
        <w:numPr>
          <w:ilvl w:val="0"/>
          <w:numId w:val="7"/>
        </w:num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oplysninger om mindre grove personalerelaterede konflikter på arbejdspladsen, f.eks. om samarbejdsvanskeligheder, mindre uoverensstemmelser og manglende tillid mellem medarbejdere og ledere.</w:t>
      </w:r>
    </w:p>
    <w:p w14:paraId="4B7EEA18" w14:textId="4D3C7041" w:rsidR="00425AEE" w:rsidRPr="003A3668" w:rsidRDefault="00962827" w:rsidP="003C2AA9">
      <w:p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Der må ikke bevidst indgives urigtige eller vildledende oplysninger gennem whistleblowerordningen. Indberetninger indgivet via whistleblowerordningen i ond tro, kan medføre en politianmeldelse, ligesom det kan medføre negative ansættelsesretlige reaktioner.</w:t>
      </w:r>
    </w:p>
    <w:p w14:paraId="6D4FA331" w14:textId="151E6E6C" w:rsidR="00425AEE" w:rsidRPr="003A3668" w:rsidRDefault="00F917FE" w:rsidP="00425AEE">
      <w:pPr>
        <w:spacing w:after="0" w:line="240" w:lineRule="auto"/>
        <w:rPr>
          <w:rFonts w:eastAsia="Times New Roman" w:cstheme="minorHAnsi"/>
          <w:b/>
          <w:bCs/>
          <w:i/>
          <w:iCs/>
          <w:lang w:eastAsia="da-DK"/>
        </w:rPr>
      </w:pPr>
      <w:r w:rsidRPr="003A3668">
        <w:rPr>
          <w:rFonts w:eastAsia="Times New Roman" w:cstheme="minorHAnsi"/>
          <w:b/>
          <w:bCs/>
          <w:i/>
          <w:iCs/>
          <w:lang w:eastAsia="da-DK"/>
        </w:rPr>
        <w:t>Hvem kan indberette til whistleblowerordningen</w:t>
      </w:r>
    </w:p>
    <w:p w14:paraId="6F220BD5" w14:textId="7E7A312E" w:rsidR="00155115" w:rsidRPr="003A3668" w:rsidRDefault="00F917FE" w:rsidP="00425AEE">
      <w:pPr>
        <w:spacing w:after="0" w:line="240" w:lineRule="auto"/>
        <w:rPr>
          <w:rFonts w:eastAsia="Times New Roman" w:cstheme="minorHAnsi"/>
          <w:b/>
          <w:bCs/>
          <w:i/>
          <w:iCs/>
          <w:lang w:eastAsia="da-DK"/>
        </w:rPr>
      </w:pPr>
      <w:r w:rsidRPr="003A3668">
        <w:rPr>
          <w:rFonts w:eastAsia="Times New Roman" w:cstheme="minorHAnsi"/>
          <w:lang w:eastAsia="da-DK"/>
        </w:rPr>
        <w:t xml:space="preserve">Ordningen kan benyttes af alle </w:t>
      </w:r>
      <w:r w:rsidR="00920F46" w:rsidRPr="003A3668">
        <w:rPr>
          <w:rFonts w:eastAsia="Times New Roman" w:cstheme="minorHAnsi"/>
          <w:lang w:eastAsia="da-DK"/>
        </w:rPr>
        <w:t>nuværende ansatte på Slagelse Gymnasium.</w:t>
      </w:r>
    </w:p>
    <w:p w14:paraId="577335D5" w14:textId="2A4A2A76" w:rsidR="00155115" w:rsidRPr="003A3668" w:rsidRDefault="00155115" w:rsidP="00155115">
      <w:pPr>
        <w:spacing w:before="100" w:beforeAutospacing="1" w:after="100" w:afterAutospacing="1" w:line="240" w:lineRule="auto"/>
        <w:rPr>
          <w:rFonts w:cstheme="minorHAnsi"/>
        </w:rPr>
      </w:pPr>
      <w:r w:rsidRPr="003A3668">
        <w:rPr>
          <w:rFonts w:eastAsia="Times New Roman" w:cstheme="minorHAnsi"/>
          <w:lang w:eastAsia="da-DK"/>
        </w:rPr>
        <w:t>Whistleblowerordningen kan være relevant at benytte, hvis du f</w:t>
      </w:r>
      <w:r w:rsidR="003C2AA9" w:rsidRPr="003A3668">
        <w:rPr>
          <w:rFonts w:eastAsia="Times New Roman" w:cstheme="minorHAnsi"/>
          <w:lang w:eastAsia="da-DK"/>
        </w:rPr>
        <w:t>.eks.</w:t>
      </w:r>
      <w:r w:rsidRPr="003A3668">
        <w:rPr>
          <w:rFonts w:eastAsia="Times New Roman" w:cstheme="minorHAnsi"/>
          <w:lang w:eastAsia="da-DK"/>
        </w:rPr>
        <w:t xml:space="preserve"> er blevet opmærksom på</w:t>
      </w:r>
      <w:r w:rsidRPr="003A3668">
        <w:rPr>
          <w:rFonts w:cstheme="minorHAnsi"/>
        </w:rPr>
        <w:t xml:space="preserve"> ulovlige eller strafbare forhold</w:t>
      </w:r>
      <w:r w:rsidRPr="003A3668">
        <w:rPr>
          <w:rFonts w:eastAsia="Times New Roman" w:cstheme="minorHAnsi"/>
          <w:lang w:eastAsia="da-DK"/>
        </w:rPr>
        <w:t xml:space="preserve">, og du oplever, at du ikke har nogen at give din viden videre til – eller at du ønsker at videregive oplysningerne fortroligt. Det kan for eksempel også </w:t>
      </w:r>
      <w:r w:rsidR="003C2AA9" w:rsidRPr="003A3668">
        <w:rPr>
          <w:rFonts w:eastAsia="Times New Roman" w:cstheme="minorHAnsi"/>
          <w:lang w:eastAsia="da-DK"/>
        </w:rPr>
        <w:t xml:space="preserve">vedrøre </w:t>
      </w:r>
      <w:r w:rsidRPr="003A3668">
        <w:rPr>
          <w:rFonts w:eastAsia="Times New Roman" w:cstheme="minorHAnsi"/>
          <w:lang w:eastAsia="da-DK"/>
        </w:rPr>
        <w:t xml:space="preserve">sager, der handler om grove eller gentagne overtrædelser af lovgivningen </w:t>
      </w:r>
      <w:r w:rsidRPr="003A3668">
        <w:rPr>
          <w:rFonts w:cstheme="minorHAnsi"/>
        </w:rPr>
        <w:t>f</w:t>
      </w:r>
      <w:r w:rsidR="003C2AA9" w:rsidRPr="003A3668">
        <w:rPr>
          <w:rFonts w:cstheme="minorHAnsi"/>
        </w:rPr>
        <w:t>.eks.</w:t>
      </w:r>
      <w:r w:rsidRPr="003A3668">
        <w:rPr>
          <w:rFonts w:cstheme="minorHAnsi"/>
        </w:rPr>
        <w:t xml:space="preserve"> forvaltningsloven eller offentlighedsloven eller grove personrelaterede konflikter på arbejdspladsen f</w:t>
      </w:r>
      <w:r w:rsidR="003C2AA9" w:rsidRPr="003A3668">
        <w:rPr>
          <w:rFonts w:cstheme="minorHAnsi"/>
        </w:rPr>
        <w:t>.eks.</w:t>
      </w:r>
      <w:r w:rsidRPr="003A3668">
        <w:rPr>
          <w:rFonts w:cstheme="minorHAnsi"/>
        </w:rPr>
        <w:t xml:space="preserve"> seksuel chikane eller bevidst vildledning af borgere og samarbejdspartnere.</w:t>
      </w:r>
    </w:p>
    <w:p w14:paraId="4B008AA1" w14:textId="14EA3A43" w:rsidR="003C2AA9" w:rsidRPr="003A3668" w:rsidRDefault="003C2AA9" w:rsidP="003C2AA9">
      <w:pPr>
        <w:spacing w:before="100" w:beforeAutospacing="1" w:after="0" w:line="240" w:lineRule="auto"/>
        <w:rPr>
          <w:b/>
          <w:bCs/>
          <w:i/>
          <w:iCs/>
        </w:rPr>
      </w:pPr>
      <w:r w:rsidRPr="003A3668">
        <w:rPr>
          <w:b/>
          <w:bCs/>
          <w:i/>
          <w:iCs/>
        </w:rPr>
        <w:t>Hvad skal du overveje</w:t>
      </w:r>
    </w:p>
    <w:p w14:paraId="347981E3" w14:textId="202C8DE8" w:rsidR="00155115" w:rsidRPr="003A3668" w:rsidRDefault="00155115" w:rsidP="00155115">
      <w:p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 xml:space="preserve">Whistleblowerordningen er et supplement til de almindelige eksisterende muligheder. Du har altid mulighed for at gå til rektor, nærmeste leder, personaleadministrationen eller tillidsrepræsentanten, hvis du oplever strafbare eller andre kritiske alvorlige forhold på </w:t>
      </w:r>
      <w:r w:rsidR="00920F46" w:rsidRPr="003A3668">
        <w:rPr>
          <w:rFonts w:eastAsia="Times New Roman" w:cstheme="minorHAnsi"/>
          <w:lang w:eastAsia="da-DK"/>
        </w:rPr>
        <w:t xml:space="preserve">Slagelse </w:t>
      </w:r>
      <w:r w:rsidRPr="003A3668">
        <w:rPr>
          <w:rFonts w:eastAsia="Times New Roman" w:cstheme="minorHAnsi"/>
          <w:lang w:eastAsia="da-DK"/>
        </w:rPr>
        <w:t>Gymnasium.</w:t>
      </w:r>
    </w:p>
    <w:p w14:paraId="3478AEF1" w14:textId="77777777" w:rsidR="00155115" w:rsidRPr="003A3668" w:rsidRDefault="00155115" w:rsidP="00155115">
      <w:p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Det kan derfor være relevant først at prøve følgende, hvis du har en bekymring eller oplever kritiske forhold på skolen:</w:t>
      </w:r>
    </w:p>
    <w:p w14:paraId="14DC2659" w14:textId="77777777" w:rsidR="00155115" w:rsidRPr="003A3668" w:rsidRDefault="00155115" w:rsidP="00155115">
      <w:pPr>
        <w:pStyle w:val="Listeafsnit"/>
        <w:numPr>
          <w:ilvl w:val="0"/>
          <w:numId w:val="2"/>
        </w:num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Har du talt med din nærmeste leder om din bekymring?</w:t>
      </w:r>
    </w:p>
    <w:p w14:paraId="5CB7F328" w14:textId="77777777" w:rsidR="00155115" w:rsidRPr="003A3668" w:rsidRDefault="00155115" w:rsidP="00155115">
      <w:pPr>
        <w:pStyle w:val="Listeafsnit"/>
        <w:numPr>
          <w:ilvl w:val="0"/>
          <w:numId w:val="2"/>
        </w:num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Har du talt med rektor?</w:t>
      </w:r>
    </w:p>
    <w:p w14:paraId="17F822AB" w14:textId="647D07BA" w:rsidR="00155115" w:rsidRPr="003A3668" w:rsidRDefault="00155115" w:rsidP="00155115">
      <w:pPr>
        <w:pStyle w:val="Listeafsnit"/>
        <w:numPr>
          <w:ilvl w:val="0"/>
          <w:numId w:val="2"/>
        </w:num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Har du talt med arbejdsmiljørepræsentanten?</w:t>
      </w:r>
    </w:p>
    <w:p w14:paraId="36C9D926" w14:textId="225E647C" w:rsidR="0099016B" w:rsidRPr="003A3668" w:rsidRDefault="00155115" w:rsidP="004C0437">
      <w:pPr>
        <w:pStyle w:val="Listeafsnit"/>
        <w:numPr>
          <w:ilvl w:val="0"/>
          <w:numId w:val="2"/>
        </w:num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Har du talt med tillidsrepræsentanten?</w:t>
      </w:r>
    </w:p>
    <w:p w14:paraId="1A419F39" w14:textId="77777777" w:rsidR="00C743F2" w:rsidRPr="003A3668" w:rsidRDefault="00C743F2" w:rsidP="00C743F2">
      <w:pPr>
        <w:pStyle w:val="Listeafsnit"/>
        <w:spacing w:before="100" w:beforeAutospacing="1" w:after="100" w:afterAutospacing="1" w:line="240" w:lineRule="auto"/>
        <w:rPr>
          <w:rFonts w:eastAsia="Times New Roman" w:cstheme="minorHAnsi"/>
          <w:lang w:eastAsia="da-DK"/>
        </w:rPr>
      </w:pPr>
    </w:p>
    <w:p w14:paraId="1EAE5A97" w14:textId="18274D36" w:rsidR="004C0437" w:rsidRPr="003A3668" w:rsidRDefault="004C0437" w:rsidP="00425AEE">
      <w:pPr>
        <w:spacing w:after="0"/>
        <w:rPr>
          <w:b/>
          <w:bCs/>
          <w:i/>
          <w:iCs/>
        </w:rPr>
      </w:pPr>
      <w:r w:rsidRPr="003A3668">
        <w:rPr>
          <w:b/>
          <w:bCs/>
          <w:i/>
          <w:iCs/>
        </w:rPr>
        <w:t>Hvordan foretager du en indberetning</w:t>
      </w:r>
    </w:p>
    <w:p w14:paraId="24732628" w14:textId="33A0940E" w:rsidR="00377A33" w:rsidRPr="003A3668" w:rsidRDefault="00386591" w:rsidP="00377A33">
      <w:pPr>
        <w:spacing w:after="0"/>
      </w:pPr>
      <w:r w:rsidRPr="003A3668">
        <w:t>Du kan indsende en indberetning via følgende link: [Indsæt navn på link]</w:t>
      </w:r>
    </w:p>
    <w:p w14:paraId="325C9FD9" w14:textId="77777777" w:rsidR="00377A33" w:rsidRPr="003A3668" w:rsidRDefault="00377A33" w:rsidP="00377A33">
      <w:pPr>
        <w:spacing w:after="0"/>
      </w:pPr>
    </w:p>
    <w:p w14:paraId="2D821A06" w14:textId="614572B9" w:rsidR="004C0437" w:rsidRPr="003A3668" w:rsidRDefault="00920F46" w:rsidP="00386591">
      <w:r w:rsidRPr="003A3668">
        <w:t>Slagelse Gymnasium</w:t>
      </w:r>
      <w:r w:rsidR="00386591" w:rsidRPr="003A3668">
        <w:t xml:space="preserve"> anbefaler, at du benytter denne løsning af hensyn til beskyttelse af fortroligheden, dine personlige oplysninger mv.</w:t>
      </w:r>
    </w:p>
    <w:p w14:paraId="25E9A4B3" w14:textId="5073093F" w:rsidR="00CF7D97" w:rsidRPr="003A3668" w:rsidRDefault="00386591" w:rsidP="00386591">
      <w:r w:rsidRPr="003A3668">
        <w:t>Skolen opfordrer dig til at benytte skolens interne ordning</w:t>
      </w:r>
      <w:r w:rsidR="009938DF" w:rsidRPr="003A3668">
        <w:t>,</w:t>
      </w:r>
      <w:r w:rsidRPr="003A3668">
        <w:t xml:space="preserve"> men skal samtidig gøre dig opmærksom på, at du også har mulighed for at foretage din indberetning til Datatilsynets </w:t>
      </w:r>
      <w:r w:rsidR="00377A33" w:rsidRPr="003A3668">
        <w:t xml:space="preserve">eksterne og </w:t>
      </w:r>
      <w:r w:rsidRPr="003A3668">
        <w:t>uafhængige whistleblowerordning [indsæt link]</w:t>
      </w:r>
      <w:r w:rsidR="009938DF" w:rsidRPr="003A3668">
        <w:t>.</w:t>
      </w:r>
    </w:p>
    <w:p w14:paraId="441D6A8B" w14:textId="49EB6E9C" w:rsidR="00CF7D97" w:rsidRPr="003A3668" w:rsidRDefault="00920F46" w:rsidP="009938DF">
      <w:pPr>
        <w:spacing w:line="240" w:lineRule="auto"/>
      </w:pPr>
      <w:r w:rsidRPr="003A3668">
        <w:lastRenderedPageBreak/>
        <w:t>Slagelse Gymnasium</w:t>
      </w:r>
      <w:r w:rsidR="00CF7D97" w:rsidRPr="003A3668">
        <w:t xml:space="preserve"> skal yderligere gøre dig opmærksom på, at din brug af ordninge</w:t>
      </w:r>
      <w:r w:rsidR="00D21185" w:rsidRPr="003A3668">
        <w:t>n</w:t>
      </w:r>
      <w:r w:rsidR="00CF7D97" w:rsidRPr="003A3668">
        <w:t xml:space="preserve"> ikke begrænser din ytringsfrihed som offentligt ansat.</w:t>
      </w:r>
    </w:p>
    <w:p w14:paraId="44C9C1D7" w14:textId="2E0763ED" w:rsidR="004C0437" w:rsidRPr="003A3668" w:rsidRDefault="00F917FE" w:rsidP="00425AEE">
      <w:pPr>
        <w:spacing w:after="0"/>
        <w:rPr>
          <w:b/>
          <w:bCs/>
          <w:i/>
          <w:iCs/>
        </w:rPr>
      </w:pPr>
      <w:r w:rsidRPr="003A3668">
        <w:rPr>
          <w:b/>
          <w:bCs/>
          <w:i/>
          <w:iCs/>
        </w:rPr>
        <w:t>Hvordan</w:t>
      </w:r>
      <w:r w:rsidR="004C0437" w:rsidRPr="003A3668">
        <w:rPr>
          <w:b/>
          <w:bCs/>
          <w:i/>
          <w:iCs/>
        </w:rPr>
        <w:t xml:space="preserve"> behandles og registreres din</w:t>
      </w:r>
      <w:r w:rsidRPr="003A3668">
        <w:rPr>
          <w:b/>
          <w:bCs/>
          <w:i/>
          <w:iCs/>
        </w:rPr>
        <w:t xml:space="preserve"> indberetning</w:t>
      </w:r>
    </w:p>
    <w:p w14:paraId="213E0681" w14:textId="772E9D65" w:rsidR="00D31D63" w:rsidRPr="003A3668" w:rsidRDefault="004C0437" w:rsidP="00425AEE">
      <w:pPr>
        <w:spacing w:after="0"/>
        <w:rPr>
          <w:rFonts w:cstheme="minorHAnsi"/>
          <w:shd w:val="clear" w:color="auto" w:fill="FFFFFF"/>
        </w:rPr>
      </w:pPr>
      <w:r w:rsidRPr="003A3668">
        <w:rPr>
          <w:rFonts w:eastAsia="Times New Roman" w:cstheme="minorHAnsi"/>
          <w:lang w:eastAsia="da-DK"/>
        </w:rPr>
        <w:t xml:space="preserve">Din indberetning til whistleblowerordningen sker gennem et it-system, som automatisk sender en mail til Whistleblowerenheden, der </w:t>
      </w:r>
      <w:r w:rsidRPr="003A3668">
        <w:rPr>
          <w:rFonts w:cstheme="minorHAnsi"/>
          <w:shd w:val="clear" w:color="auto" w:fill="FFFFFF"/>
        </w:rPr>
        <w:t xml:space="preserve">består af </w:t>
      </w:r>
      <w:r w:rsidR="008A19D7" w:rsidRPr="003A3668">
        <w:rPr>
          <w:rFonts w:eastAsia="Times New Roman" w:cstheme="minorHAnsi"/>
          <w:lang w:eastAsia="da-DK"/>
        </w:rPr>
        <w:t xml:space="preserve">Administrationschef Bettina Rasmussen, TR Thomas Lyngmann, AMR Laura Toudal Krogh, Jan Schmidt Nielsen, Lotte Christiansen. Gymnasiets bestyrelsesformanden er en del af enheden, hvis henvendelsen drejer sig om rektor. </w:t>
      </w:r>
    </w:p>
    <w:p w14:paraId="6EEE5D93" w14:textId="77777777" w:rsidR="009938DF" w:rsidRPr="003A3668" w:rsidRDefault="009938DF" w:rsidP="00425AEE">
      <w:pPr>
        <w:spacing w:after="0"/>
        <w:rPr>
          <w:rFonts w:cstheme="minorHAnsi"/>
          <w:shd w:val="clear" w:color="auto" w:fill="FFFFFF"/>
        </w:rPr>
      </w:pPr>
    </w:p>
    <w:p w14:paraId="7F234548" w14:textId="24F2D37B" w:rsidR="00D31D63" w:rsidRPr="003A3668" w:rsidRDefault="00D31D63" w:rsidP="004C0437">
      <w:pPr>
        <w:rPr>
          <w:rFonts w:cstheme="minorHAnsi"/>
          <w:shd w:val="clear" w:color="auto" w:fill="FFFFFF"/>
        </w:rPr>
      </w:pPr>
      <w:r w:rsidRPr="003A3668">
        <w:rPr>
          <w:rFonts w:cstheme="minorHAnsi"/>
          <w:shd w:val="clear" w:color="auto" w:fill="FFFFFF"/>
        </w:rPr>
        <w:t xml:space="preserve">Du vil modtage en bekræftelse </w:t>
      </w:r>
      <w:r w:rsidR="00CE0472" w:rsidRPr="003A3668">
        <w:rPr>
          <w:rFonts w:cstheme="minorHAnsi"/>
          <w:shd w:val="clear" w:color="auto" w:fill="FFFFFF"/>
        </w:rPr>
        <w:t>på modtagelsen af din indberetning inden for 7 dage, og du vil samtidig få oplyst den forventede sagsbehandlingstid.</w:t>
      </w:r>
    </w:p>
    <w:p w14:paraId="60B1C63C" w14:textId="367657DB" w:rsidR="004C0437" w:rsidRPr="003A3668" w:rsidRDefault="004C0437" w:rsidP="004C0437">
      <w:pPr>
        <w:spacing w:before="100" w:beforeAutospacing="1" w:after="100" w:afterAutospacing="1" w:line="240" w:lineRule="auto"/>
      </w:pPr>
      <w:r w:rsidRPr="003A3668">
        <w:t xml:space="preserve">Whistleblowerenheden visiterer sagen og drøfter den efterfølgende i samarbejde med den/de udvalgte medarbejder(e) på skolen. </w:t>
      </w:r>
    </w:p>
    <w:p w14:paraId="450BFB85" w14:textId="13B8B240" w:rsidR="009711DB" w:rsidRPr="003A3668" w:rsidRDefault="004C0437" w:rsidP="009711DB">
      <w:pPr>
        <w:spacing w:before="100" w:beforeAutospacing="1" w:after="100" w:afterAutospacing="1" w:line="240" w:lineRule="auto"/>
        <w:rPr>
          <w:rFonts w:cstheme="minorHAnsi"/>
        </w:rPr>
      </w:pPr>
      <w:r w:rsidRPr="003A3668">
        <w:rPr>
          <w:rFonts w:eastAsia="Times New Roman" w:cstheme="minorHAnsi"/>
          <w:lang w:eastAsia="da-DK"/>
        </w:rPr>
        <w:t>Når enheden har modtaget din indberetning, vurderes det først, om der er grundlag for en egentlig behandling af sagen, dvs. om din indberetning falder inden for ordningen eller ej.</w:t>
      </w:r>
      <w:r w:rsidR="00FB3C99" w:rsidRPr="003A3668">
        <w:rPr>
          <w:rFonts w:eastAsia="Times New Roman" w:cstheme="minorHAnsi"/>
          <w:lang w:eastAsia="da-DK"/>
        </w:rPr>
        <w:t xml:space="preserve"> </w:t>
      </w:r>
      <w:r w:rsidR="009711DB" w:rsidRPr="003A3668">
        <w:rPr>
          <w:rFonts w:cstheme="minorHAnsi"/>
        </w:rPr>
        <w:t>Du vil blive orienteret om sagens behandling og eventuelt udfaldet heraf. Orienteringen kan dog i visse tilfælde være begrænset af reglerne om tavshedspligt mv.</w:t>
      </w:r>
    </w:p>
    <w:p w14:paraId="6C3BA1DC" w14:textId="6BE4178C" w:rsidR="004C0437" w:rsidRPr="003A3668" w:rsidRDefault="00FB3C99" w:rsidP="004C0437">
      <w:p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Enheden vil holde dig løbende orienteret om behandlingen af din indberetning.</w:t>
      </w:r>
      <w:r w:rsidR="004C0437" w:rsidRPr="003A3668">
        <w:rPr>
          <w:rFonts w:eastAsia="Times New Roman" w:cstheme="minorHAnsi"/>
          <w:lang w:eastAsia="da-DK"/>
        </w:rPr>
        <w:t xml:space="preserve"> Hvis der er behov for flere oplysninger</w:t>
      </w:r>
      <w:r w:rsidR="009938DF" w:rsidRPr="003A3668">
        <w:rPr>
          <w:rFonts w:eastAsia="Times New Roman" w:cstheme="minorHAnsi"/>
          <w:lang w:eastAsia="da-DK"/>
        </w:rPr>
        <w:t xml:space="preserve"> fra dig</w:t>
      </w:r>
      <w:r w:rsidR="004C0437" w:rsidRPr="003A3668">
        <w:rPr>
          <w:rFonts w:eastAsia="Times New Roman" w:cstheme="minorHAnsi"/>
          <w:lang w:eastAsia="da-DK"/>
        </w:rPr>
        <w:t>, vil der blive sendt opklarende spørgsmål til dig gennem it-systemet.</w:t>
      </w:r>
      <w:r w:rsidRPr="003A3668">
        <w:rPr>
          <w:rFonts w:eastAsia="Times New Roman" w:cstheme="minorHAnsi"/>
          <w:lang w:eastAsia="da-DK"/>
        </w:rPr>
        <w:t xml:space="preserve"> </w:t>
      </w:r>
    </w:p>
    <w:p w14:paraId="06BC3E47" w14:textId="70FF2E11" w:rsidR="00AB0C72" w:rsidRPr="003A3668" w:rsidRDefault="00AB0C72" w:rsidP="00AB0C72">
      <w:r w:rsidRPr="003A3668">
        <w:t xml:space="preserve">Falder din </w:t>
      </w:r>
      <w:r w:rsidR="007F0C5D" w:rsidRPr="003A3668">
        <w:t>indberetning</w:t>
      </w:r>
      <w:r w:rsidRPr="003A3668">
        <w:t xml:space="preserve"> uden for ordningens anvendelsesområde, </w:t>
      </w:r>
      <w:r w:rsidR="007F0C5D" w:rsidRPr="003A3668">
        <w:t>vil den blive afvist</w:t>
      </w:r>
      <w:r w:rsidR="00B33032" w:rsidRPr="003A3668">
        <w:t xml:space="preserve">. </w:t>
      </w:r>
      <w:r w:rsidR="00E82FD8" w:rsidRPr="003A3668">
        <w:t>Whistlebl</w:t>
      </w:r>
      <w:r w:rsidRPr="003A3668">
        <w:t xml:space="preserve">owerenheden </w:t>
      </w:r>
      <w:r w:rsidR="00E82FD8" w:rsidRPr="003A3668">
        <w:t>vil i givet fald</w:t>
      </w:r>
      <w:r w:rsidRPr="003A3668">
        <w:t xml:space="preserve"> vejlede </w:t>
      </w:r>
      <w:r w:rsidR="00E82FD8" w:rsidRPr="003A3668">
        <w:t xml:space="preserve">dig om, hvortil din henvendelse eventuelt kan rettes. </w:t>
      </w:r>
    </w:p>
    <w:p w14:paraId="46BD61F1" w14:textId="77777777" w:rsidR="004C0437" w:rsidRPr="003A3668" w:rsidRDefault="004C0437" w:rsidP="004C0437">
      <w:r w:rsidRPr="003A3668">
        <w:t xml:space="preserve">Whistleblowerenheden refererer til rektor, der træffer beslutning om det videre forløb. Hvis en indberetning omhandler rektor, overgives indberetningen også til bestyrelsesformanden. </w:t>
      </w:r>
    </w:p>
    <w:p w14:paraId="7C871EDB" w14:textId="147BF979" w:rsidR="004C0437" w:rsidRPr="003A3668" w:rsidRDefault="004C0437" w:rsidP="004C0437">
      <w:pPr>
        <w:spacing w:before="100" w:beforeAutospacing="1" w:after="100" w:afterAutospacing="1" w:line="240" w:lineRule="auto"/>
        <w:rPr>
          <w:rFonts w:eastAsia="Times New Roman" w:cstheme="minorHAnsi"/>
          <w:lang w:eastAsia="da-DK"/>
        </w:rPr>
      </w:pPr>
      <w:r w:rsidRPr="003A3668">
        <w:rPr>
          <w:rFonts w:eastAsia="Times New Roman" w:cstheme="minorHAnsi"/>
          <w:lang w:eastAsia="da-DK"/>
        </w:rPr>
        <w:t>Er der grundlag for videre undersøgelser og vurdering af eventuelle disciplinære sanktioner eller endog politianmeldelse, orienteres rektor endvidere med henblik på håndtering af sagen.</w:t>
      </w:r>
    </w:p>
    <w:p w14:paraId="190E97A8" w14:textId="59BA3920" w:rsidR="00B73A25" w:rsidRPr="003A3668" w:rsidRDefault="0082414F" w:rsidP="00B73A25">
      <w:pPr>
        <w:spacing w:before="100" w:beforeAutospacing="1" w:after="100" w:afterAutospacing="1" w:line="240" w:lineRule="auto"/>
      </w:pPr>
      <w:r w:rsidRPr="003A3668">
        <w:t>Både whistlebloweren og den indberettede vil som udgangspunkt modtage en orientering/underretning, når sagen er afsluttet.</w:t>
      </w:r>
    </w:p>
    <w:p w14:paraId="676172C3" w14:textId="4E406821" w:rsidR="002A3AFF" w:rsidRPr="003A3668" w:rsidRDefault="009F47DF" w:rsidP="00425AEE">
      <w:pPr>
        <w:spacing w:after="0" w:line="240" w:lineRule="auto"/>
        <w:rPr>
          <w:rFonts w:eastAsia="Times New Roman" w:cstheme="minorHAnsi"/>
          <w:b/>
          <w:bCs/>
          <w:i/>
          <w:iCs/>
          <w:lang w:eastAsia="da-DK"/>
        </w:rPr>
      </w:pPr>
      <w:r w:rsidRPr="003A3668">
        <w:rPr>
          <w:rFonts w:eastAsia="Times New Roman" w:cstheme="minorHAnsi"/>
          <w:b/>
          <w:bCs/>
          <w:i/>
          <w:iCs/>
          <w:lang w:eastAsia="da-DK"/>
        </w:rPr>
        <w:t>Spørgsmål</w:t>
      </w:r>
    </w:p>
    <w:p w14:paraId="7281C799" w14:textId="1B11FCB3" w:rsidR="009F47DF" w:rsidRPr="003A3668" w:rsidRDefault="00D21185" w:rsidP="00425AEE">
      <w:pPr>
        <w:autoSpaceDE w:val="0"/>
        <w:autoSpaceDN w:val="0"/>
        <w:adjustRightInd w:val="0"/>
        <w:spacing w:after="0" w:line="240" w:lineRule="auto"/>
        <w:rPr>
          <w:rFonts w:cstheme="minorHAnsi"/>
        </w:rPr>
      </w:pPr>
      <w:r w:rsidRPr="003A3668">
        <w:rPr>
          <w:rFonts w:cstheme="minorHAnsi"/>
        </w:rPr>
        <w:t>Har du</w:t>
      </w:r>
      <w:r w:rsidR="009F47DF" w:rsidRPr="003A3668">
        <w:rPr>
          <w:rFonts w:cstheme="minorHAnsi"/>
        </w:rPr>
        <w:t xml:space="preserve"> spørgsmål </w:t>
      </w:r>
      <w:r w:rsidRPr="003A3668">
        <w:rPr>
          <w:rFonts w:cstheme="minorHAnsi"/>
        </w:rPr>
        <w:t xml:space="preserve">til </w:t>
      </w:r>
      <w:r w:rsidR="009F47DF" w:rsidRPr="003A3668">
        <w:rPr>
          <w:rFonts w:cstheme="minorHAnsi"/>
        </w:rPr>
        <w:t>whistleblowerordningen</w:t>
      </w:r>
      <w:r w:rsidR="001C088E" w:rsidRPr="003A3668">
        <w:rPr>
          <w:rFonts w:cstheme="minorHAnsi"/>
        </w:rPr>
        <w:t xml:space="preserve"> på </w:t>
      </w:r>
      <w:r w:rsidR="00920F46" w:rsidRPr="003A3668">
        <w:rPr>
          <w:rFonts w:cstheme="minorHAnsi"/>
        </w:rPr>
        <w:t>Slagelse Gymnasium</w:t>
      </w:r>
      <w:r w:rsidRPr="003A3668">
        <w:rPr>
          <w:rFonts w:cstheme="minorHAnsi"/>
        </w:rPr>
        <w:t>,</w:t>
      </w:r>
      <w:r w:rsidR="009F47DF" w:rsidRPr="003A3668">
        <w:rPr>
          <w:rFonts w:cstheme="minorHAnsi"/>
        </w:rPr>
        <w:t xml:space="preserve"> kan</w:t>
      </w:r>
      <w:r w:rsidRPr="003A3668">
        <w:rPr>
          <w:rFonts w:cstheme="minorHAnsi"/>
        </w:rPr>
        <w:t xml:space="preserve"> de</w:t>
      </w:r>
      <w:r w:rsidR="009F47DF" w:rsidRPr="003A3668">
        <w:rPr>
          <w:rFonts w:cstheme="minorHAnsi"/>
        </w:rPr>
        <w:t xml:space="preserve"> rettes til</w:t>
      </w:r>
      <w:r w:rsidR="003A3668" w:rsidRPr="003A3668">
        <w:rPr>
          <w:rFonts w:cstheme="minorHAnsi"/>
        </w:rPr>
        <w:t xml:space="preserve"> Administrationschef Bettina Rasmussen på mail: </w:t>
      </w:r>
      <w:hyperlink r:id="rId8" w:history="1">
        <w:r w:rsidR="003A3668" w:rsidRPr="003A3668">
          <w:rPr>
            <w:rStyle w:val="Hyperlink"/>
            <w:rFonts w:cstheme="minorHAnsi"/>
            <w:color w:val="auto"/>
          </w:rPr>
          <w:t>ber@slagelse-gym.dk</w:t>
        </w:r>
      </w:hyperlink>
      <w:r w:rsidR="003A3668" w:rsidRPr="003A3668">
        <w:rPr>
          <w:rFonts w:cstheme="minorHAnsi"/>
        </w:rPr>
        <w:t xml:space="preserve"> </w:t>
      </w:r>
      <w:proofErr w:type="gramStart"/>
      <w:r w:rsidR="003A3668" w:rsidRPr="003A3668">
        <w:rPr>
          <w:rFonts w:cstheme="minorHAnsi"/>
        </w:rPr>
        <w:t xml:space="preserve">eller </w:t>
      </w:r>
      <w:r w:rsidR="009F47DF" w:rsidRPr="003A3668">
        <w:rPr>
          <w:rFonts w:cstheme="minorHAnsi"/>
        </w:rPr>
        <w:t xml:space="preserve"> </w:t>
      </w:r>
      <w:r w:rsidR="003A3668" w:rsidRPr="003A3668">
        <w:rPr>
          <w:rFonts w:cstheme="minorHAnsi"/>
        </w:rPr>
        <w:t>til</w:t>
      </w:r>
      <w:proofErr w:type="gramEnd"/>
      <w:r w:rsidR="003A3668" w:rsidRPr="003A3668">
        <w:rPr>
          <w:rFonts w:cstheme="minorHAnsi"/>
        </w:rPr>
        <w:t xml:space="preserve"> rektor Lotte Büchert på mail: lb@slagelse-gym.dk</w:t>
      </w:r>
    </w:p>
    <w:p w14:paraId="313FA2D4" w14:textId="77777777" w:rsidR="00425AEE" w:rsidRPr="003A3668" w:rsidRDefault="00425AEE" w:rsidP="00425AEE">
      <w:pPr>
        <w:autoSpaceDE w:val="0"/>
        <w:autoSpaceDN w:val="0"/>
        <w:adjustRightInd w:val="0"/>
        <w:spacing w:after="0" w:line="240" w:lineRule="auto"/>
        <w:rPr>
          <w:rFonts w:ascii="Verdana" w:hAnsi="Verdana" w:cs="Verdana"/>
          <w:sz w:val="20"/>
          <w:szCs w:val="20"/>
        </w:rPr>
      </w:pPr>
    </w:p>
    <w:p w14:paraId="3C220135" w14:textId="660C9697" w:rsidR="00B73A25" w:rsidRPr="003A3668" w:rsidRDefault="00B73A25" w:rsidP="00425AEE">
      <w:pPr>
        <w:spacing w:after="0" w:line="240" w:lineRule="auto"/>
        <w:rPr>
          <w:rFonts w:eastAsia="Times New Roman" w:cstheme="minorHAnsi"/>
          <w:b/>
          <w:bCs/>
          <w:i/>
          <w:iCs/>
          <w:lang w:eastAsia="da-DK"/>
        </w:rPr>
      </w:pPr>
      <w:r w:rsidRPr="003A3668">
        <w:rPr>
          <w:rFonts w:eastAsia="Times New Roman" w:cstheme="minorHAnsi"/>
          <w:b/>
          <w:bCs/>
          <w:i/>
          <w:iCs/>
          <w:lang w:eastAsia="da-DK"/>
        </w:rPr>
        <w:t>Læs mere</w:t>
      </w:r>
    </w:p>
    <w:p w14:paraId="315FF027" w14:textId="23ED2873" w:rsidR="00A56E38" w:rsidRPr="003A3668" w:rsidRDefault="00A56E38" w:rsidP="00425AEE">
      <w:pPr>
        <w:spacing w:after="0" w:line="240" w:lineRule="auto"/>
        <w:rPr>
          <w:rFonts w:eastAsia="Times New Roman" w:cstheme="minorHAnsi"/>
          <w:lang w:eastAsia="da-DK"/>
        </w:rPr>
      </w:pPr>
      <w:r w:rsidRPr="003A3668">
        <w:rPr>
          <w:rFonts w:eastAsia="Times New Roman" w:cstheme="minorHAnsi"/>
          <w:lang w:eastAsia="da-DK"/>
        </w:rPr>
        <w:t>Der henvises til [</w:t>
      </w:r>
      <w:r w:rsidR="00920F46" w:rsidRPr="003A3668">
        <w:rPr>
          <w:rFonts w:eastAsia="Times New Roman" w:cstheme="minorHAnsi"/>
          <w:lang w:eastAsia="da-DK"/>
        </w:rPr>
        <w:t>Slagelse Gymnasium</w:t>
      </w:r>
      <w:r w:rsidRPr="003A3668">
        <w:rPr>
          <w:rFonts w:eastAsia="Times New Roman" w:cstheme="minorHAnsi"/>
          <w:lang w:eastAsia="da-DK"/>
        </w:rPr>
        <w:t>] retningslinjer</w:t>
      </w:r>
      <w:r w:rsidR="00997F21" w:rsidRPr="003A3668">
        <w:rPr>
          <w:rFonts w:eastAsia="Times New Roman" w:cstheme="minorHAnsi"/>
          <w:lang w:eastAsia="da-DK"/>
        </w:rPr>
        <w:t xml:space="preserve"> for whistleblowerenhedens behandling af ind</w:t>
      </w:r>
      <w:r w:rsidR="00703EAE" w:rsidRPr="003A3668">
        <w:rPr>
          <w:rFonts w:eastAsia="Times New Roman" w:cstheme="minorHAnsi"/>
          <w:lang w:eastAsia="da-DK"/>
        </w:rPr>
        <w:t>be</w:t>
      </w:r>
      <w:r w:rsidR="00997F21" w:rsidRPr="003A3668">
        <w:rPr>
          <w:rFonts w:eastAsia="Times New Roman" w:cstheme="minorHAnsi"/>
          <w:lang w:eastAsia="da-DK"/>
        </w:rPr>
        <w:t>retninger</w:t>
      </w:r>
      <w:r w:rsidR="00703EAE" w:rsidRPr="003A3668">
        <w:rPr>
          <w:rFonts w:eastAsia="Times New Roman" w:cstheme="minorHAnsi"/>
          <w:lang w:eastAsia="da-DK"/>
        </w:rPr>
        <w:t xml:space="preserve"> og </w:t>
      </w:r>
      <w:r w:rsidR="00920F46" w:rsidRPr="003A3668">
        <w:rPr>
          <w:rFonts w:eastAsia="Times New Roman" w:cstheme="minorHAnsi"/>
          <w:lang w:eastAsia="da-DK"/>
        </w:rPr>
        <w:t>Slagelse Gymnasium</w:t>
      </w:r>
      <w:r w:rsidR="001C088E" w:rsidRPr="003A3668">
        <w:rPr>
          <w:rFonts w:eastAsia="Times New Roman" w:cstheme="minorHAnsi"/>
          <w:lang w:eastAsia="da-DK"/>
        </w:rPr>
        <w:t>s</w:t>
      </w:r>
      <w:r w:rsidR="00703EAE" w:rsidRPr="003A3668">
        <w:rPr>
          <w:rFonts w:eastAsia="Times New Roman" w:cstheme="minorHAnsi"/>
          <w:lang w:eastAsia="da-DK"/>
        </w:rPr>
        <w:t xml:space="preserve"> whistleblowerpolitik</w:t>
      </w:r>
      <w:r w:rsidR="00B73A25" w:rsidRPr="003A3668">
        <w:rPr>
          <w:rFonts w:eastAsia="Times New Roman" w:cstheme="minorHAnsi"/>
          <w:lang w:eastAsia="da-DK"/>
        </w:rPr>
        <w:t xml:space="preserve"> og privatlivspolitik</w:t>
      </w:r>
      <w:r w:rsidR="00703EAE" w:rsidRPr="003A3668">
        <w:rPr>
          <w:rFonts w:eastAsia="Times New Roman" w:cstheme="minorHAnsi"/>
          <w:lang w:eastAsia="da-DK"/>
        </w:rPr>
        <w:t>.</w:t>
      </w:r>
    </w:p>
    <w:p w14:paraId="1FC3752C" w14:textId="4F5E0BA1" w:rsidR="00D36705" w:rsidRPr="002922B4" w:rsidRDefault="00D36705" w:rsidP="00F917FE">
      <w:pPr>
        <w:spacing w:before="100" w:beforeAutospacing="1" w:after="100" w:afterAutospacing="1" w:line="240" w:lineRule="auto"/>
        <w:rPr>
          <w:rFonts w:eastAsia="Times New Roman" w:cstheme="minorHAnsi"/>
          <w:color w:val="000000" w:themeColor="text1"/>
          <w:lang w:eastAsia="da-DK"/>
        </w:rPr>
      </w:pPr>
      <w:r w:rsidRPr="002922B4">
        <w:rPr>
          <w:rFonts w:eastAsia="Times New Roman" w:cstheme="minorHAnsi"/>
          <w:color w:val="000000" w:themeColor="text1"/>
          <w:lang w:eastAsia="da-DK"/>
        </w:rPr>
        <w:t>Justitsministeriets Fælles vejledning for whistleblowerordninger på statens område</w:t>
      </w:r>
      <w:r w:rsidR="002922B4">
        <w:rPr>
          <w:rFonts w:eastAsia="Times New Roman" w:cstheme="minorHAnsi"/>
          <w:color w:val="000000" w:themeColor="text1"/>
          <w:lang w:eastAsia="da-DK"/>
        </w:rPr>
        <w:t>.</w:t>
      </w:r>
    </w:p>
    <w:p w14:paraId="04CEA2E6" w14:textId="77777777" w:rsidR="00321B8A" w:rsidRDefault="00321B8A"/>
    <w:sectPr w:rsidR="00321B8A">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0E09" w14:textId="77777777" w:rsidR="005647A7" w:rsidRDefault="005647A7" w:rsidP="00920F46">
      <w:pPr>
        <w:spacing w:after="0" w:line="240" w:lineRule="auto"/>
      </w:pPr>
      <w:r>
        <w:separator/>
      </w:r>
    </w:p>
  </w:endnote>
  <w:endnote w:type="continuationSeparator" w:id="0">
    <w:p w14:paraId="0E8E7A4E" w14:textId="77777777" w:rsidR="005647A7" w:rsidRDefault="005647A7" w:rsidP="0092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2864" w14:textId="77777777" w:rsidR="005647A7" w:rsidRDefault="005647A7" w:rsidP="00920F46">
      <w:pPr>
        <w:spacing w:after="0" w:line="240" w:lineRule="auto"/>
      </w:pPr>
      <w:r>
        <w:separator/>
      </w:r>
    </w:p>
  </w:footnote>
  <w:footnote w:type="continuationSeparator" w:id="0">
    <w:p w14:paraId="6898E59D" w14:textId="77777777" w:rsidR="005647A7" w:rsidRDefault="005647A7" w:rsidP="00920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0CDF" w14:textId="60375510" w:rsidR="00920F46" w:rsidRDefault="00920F46">
    <w:pPr>
      <w:pStyle w:val="Sidehoved"/>
    </w:pPr>
    <w:r>
      <w:tab/>
    </w:r>
    <w:r>
      <w:tab/>
    </w:r>
    <w:r>
      <w:rPr>
        <w:noProof/>
      </w:rPr>
      <w:drawing>
        <wp:inline distT="0" distB="0" distL="0" distR="0" wp14:anchorId="4FFB28FC" wp14:editId="712AEA28">
          <wp:extent cx="1689100" cy="433566"/>
          <wp:effectExtent l="0" t="0" r="6350" b="5080"/>
          <wp:docPr id="2" name="Billede 1" descr="Et billede, der indeholder tekst, drikkevarer, luk, læskedrik&#10;&#10;Automatisk genereret beskrivelse">
            <a:extLst xmlns:a="http://schemas.openxmlformats.org/drawingml/2006/main">
              <a:ext uri="{FF2B5EF4-FFF2-40B4-BE49-F238E27FC236}">
                <a16:creationId xmlns:a16="http://schemas.microsoft.com/office/drawing/2014/main" id="{93CB3032-CE13-40D6-A9BB-F3D0D1C2C6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 descr="Et billede, der indeholder tekst, drikkevarer, luk, læskedrik&#10;&#10;Automatisk genereret beskrivelse">
                    <a:extLst>
                      <a:ext uri="{FF2B5EF4-FFF2-40B4-BE49-F238E27FC236}">
                        <a16:creationId xmlns:a16="http://schemas.microsoft.com/office/drawing/2014/main" id="{93CB3032-CE13-40D6-A9BB-F3D0D1C2C6CE}"/>
                      </a:ext>
                    </a:extLst>
                  </pic:cNvPr>
                  <pic:cNvPicPr>
                    <a:picLocks noChangeAspect="1"/>
                  </pic:cNvPicPr>
                </pic:nvPicPr>
                <pic:blipFill>
                  <a:blip r:embed="rId1"/>
                  <a:stretch>
                    <a:fillRect/>
                  </a:stretch>
                </pic:blipFill>
                <pic:spPr>
                  <a:xfrm>
                    <a:off x="0" y="0"/>
                    <a:ext cx="1708391" cy="4385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983"/>
    <w:multiLevelType w:val="hybridMultilevel"/>
    <w:tmpl w:val="B204BD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7E45365"/>
    <w:multiLevelType w:val="multilevel"/>
    <w:tmpl w:val="0BF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95662"/>
    <w:multiLevelType w:val="hybridMultilevel"/>
    <w:tmpl w:val="68A4B9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EF13809"/>
    <w:multiLevelType w:val="multilevel"/>
    <w:tmpl w:val="BF80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36B58"/>
    <w:multiLevelType w:val="multilevel"/>
    <w:tmpl w:val="D124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E292E"/>
    <w:multiLevelType w:val="hybridMultilevel"/>
    <w:tmpl w:val="F1DAE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3C75CEE"/>
    <w:multiLevelType w:val="multilevel"/>
    <w:tmpl w:val="DC92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FE"/>
    <w:rsid w:val="000131EE"/>
    <w:rsid w:val="0005465B"/>
    <w:rsid w:val="000B53E2"/>
    <w:rsid w:val="00154967"/>
    <w:rsid w:val="00155115"/>
    <w:rsid w:val="00160FEA"/>
    <w:rsid w:val="001C088E"/>
    <w:rsid w:val="0022447A"/>
    <w:rsid w:val="002922B4"/>
    <w:rsid w:val="002A3AFF"/>
    <w:rsid w:val="002B42FE"/>
    <w:rsid w:val="00302609"/>
    <w:rsid w:val="00321B8A"/>
    <w:rsid w:val="00377A33"/>
    <w:rsid w:val="00386591"/>
    <w:rsid w:val="003A3668"/>
    <w:rsid w:val="003C2AA9"/>
    <w:rsid w:val="00425AEE"/>
    <w:rsid w:val="004C0437"/>
    <w:rsid w:val="005647A7"/>
    <w:rsid w:val="006370D9"/>
    <w:rsid w:val="0070258D"/>
    <w:rsid w:val="00703EAE"/>
    <w:rsid w:val="00704BE6"/>
    <w:rsid w:val="007F0C5D"/>
    <w:rsid w:val="0082414F"/>
    <w:rsid w:val="008A19D7"/>
    <w:rsid w:val="00920F46"/>
    <w:rsid w:val="00962827"/>
    <w:rsid w:val="009711DB"/>
    <w:rsid w:val="00976089"/>
    <w:rsid w:val="0099016B"/>
    <w:rsid w:val="009938DF"/>
    <w:rsid w:val="00997F21"/>
    <w:rsid w:val="009C164F"/>
    <w:rsid w:val="009F47DF"/>
    <w:rsid w:val="00A56E38"/>
    <w:rsid w:val="00AB0C72"/>
    <w:rsid w:val="00B33032"/>
    <w:rsid w:val="00B73A25"/>
    <w:rsid w:val="00B80944"/>
    <w:rsid w:val="00C0589C"/>
    <w:rsid w:val="00C15E2E"/>
    <w:rsid w:val="00C743F2"/>
    <w:rsid w:val="00CB5F57"/>
    <w:rsid w:val="00CE0472"/>
    <w:rsid w:val="00CE4FF6"/>
    <w:rsid w:val="00CF23F4"/>
    <w:rsid w:val="00CF7D97"/>
    <w:rsid w:val="00D061E3"/>
    <w:rsid w:val="00D21185"/>
    <w:rsid w:val="00D31D63"/>
    <w:rsid w:val="00D36705"/>
    <w:rsid w:val="00D4060A"/>
    <w:rsid w:val="00DC4BE2"/>
    <w:rsid w:val="00DE30E2"/>
    <w:rsid w:val="00E362C3"/>
    <w:rsid w:val="00E60B17"/>
    <w:rsid w:val="00E62234"/>
    <w:rsid w:val="00E82FD8"/>
    <w:rsid w:val="00F822F3"/>
    <w:rsid w:val="00F917FE"/>
    <w:rsid w:val="00F96EB0"/>
    <w:rsid w:val="00FB3C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FF05"/>
  <w15:chartTrackingRefBased/>
  <w15:docId w15:val="{88F04F88-56B4-44A1-8A76-3EDE508F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7FE"/>
  </w:style>
  <w:style w:type="paragraph" w:styleId="Overskrift2">
    <w:name w:val="heading 2"/>
    <w:basedOn w:val="Normal"/>
    <w:next w:val="Normal"/>
    <w:link w:val="Overskrift2Tegn"/>
    <w:uiPriority w:val="9"/>
    <w:semiHidden/>
    <w:unhideWhenUsed/>
    <w:qFormat/>
    <w:rsid w:val="00704B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F917FE"/>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F917FE"/>
    <w:pPr>
      <w:ind w:left="720"/>
      <w:contextualSpacing/>
    </w:pPr>
  </w:style>
  <w:style w:type="character" w:customStyle="1" w:styleId="ListeafsnitTegn">
    <w:name w:val="Listeafsnit Tegn"/>
    <w:link w:val="Listeafsnit"/>
    <w:uiPriority w:val="34"/>
    <w:rsid w:val="00F917FE"/>
  </w:style>
  <w:style w:type="character" w:customStyle="1" w:styleId="Overskrift3Tegn">
    <w:name w:val="Overskrift 3 Tegn"/>
    <w:basedOn w:val="Standardskrifttypeiafsnit"/>
    <w:link w:val="Overskrift3"/>
    <w:uiPriority w:val="9"/>
    <w:rsid w:val="00F917FE"/>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9711D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9711DB"/>
    <w:rPr>
      <w:b/>
      <w:bCs/>
    </w:rPr>
  </w:style>
  <w:style w:type="character" w:customStyle="1" w:styleId="Overskrift2Tegn">
    <w:name w:val="Overskrift 2 Tegn"/>
    <w:basedOn w:val="Standardskrifttypeiafsnit"/>
    <w:link w:val="Overskrift2"/>
    <w:uiPriority w:val="9"/>
    <w:semiHidden/>
    <w:rsid w:val="00704BE6"/>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920F4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20F46"/>
  </w:style>
  <w:style w:type="paragraph" w:styleId="Sidefod">
    <w:name w:val="footer"/>
    <w:basedOn w:val="Normal"/>
    <w:link w:val="SidefodTegn"/>
    <w:uiPriority w:val="99"/>
    <w:unhideWhenUsed/>
    <w:rsid w:val="00920F4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20F46"/>
  </w:style>
  <w:style w:type="character" w:styleId="Hyperlink">
    <w:name w:val="Hyperlink"/>
    <w:basedOn w:val="Standardskrifttypeiafsnit"/>
    <w:uiPriority w:val="99"/>
    <w:unhideWhenUsed/>
    <w:rsid w:val="003A3668"/>
    <w:rPr>
      <w:color w:val="0563C1" w:themeColor="hyperlink"/>
      <w:u w:val="single"/>
    </w:rPr>
  </w:style>
  <w:style w:type="character" w:styleId="Ulstomtale">
    <w:name w:val="Unresolved Mention"/>
    <w:basedOn w:val="Standardskrifttypeiafsnit"/>
    <w:uiPriority w:val="99"/>
    <w:semiHidden/>
    <w:unhideWhenUsed/>
    <w:rsid w:val="003A3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11218">
      <w:bodyDiv w:val="1"/>
      <w:marLeft w:val="0"/>
      <w:marRight w:val="0"/>
      <w:marTop w:val="0"/>
      <w:marBottom w:val="0"/>
      <w:divBdr>
        <w:top w:val="none" w:sz="0" w:space="0" w:color="auto"/>
        <w:left w:val="none" w:sz="0" w:space="0" w:color="auto"/>
        <w:bottom w:val="none" w:sz="0" w:space="0" w:color="auto"/>
        <w:right w:val="none" w:sz="0" w:space="0" w:color="auto"/>
      </w:divBdr>
    </w:div>
    <w:div w:id="534735815">
      <w:bodyDiv w:val="1"/>
      <w:marLeft w:val="0"/>
      <w:marRight w:val="0"/>
      <w:marTop w:val="0"/>
      <w:marBottom w:val="0"/>
      <w:divBdr>
        <w:top w:val="none" w:sz="0" w:space="0" w:color="auto"/>
        <w:left w:val="none" w:sz="0" w:space="0" w:color="auto"/>
        <w:bottom w:val="none" w:sz="0" w:space="0" w:color="auto"/>
        <w:right w:val="none" w:sz="0" w:space="0" w:color="auto"/>
      </w:divBdr>
    </w:div>
    <w:div w:id="659038779">
      <w:bodyDiv w:val="1"/>
      <w:marLeft w:val="0"/>
      <w:marRight w:val="0"/>
      <w:marTop w:val="0"/>
      <w:marBottom w:val="0"/>
      <w:divBdr>
        <w:top w:val="none" w:sz="0" w:space="0" w:color="auto"/>
        <w:left w:val="none" w:sz="0" w:space="0" w:color="auto"/>
        <w:bottom w:val="none" w:sz="0" w:space="0" w:color="auto"/>
        <w:right w:val="none" w:sz="0" w:space="0" w:color="auto"/>
      </w:divBdr>
    </w:div>
    <w:div w:id="759956521">
      <w:bodyDiv w:val="1"/>
      <w:marLeft w:val="0"/>
      <w:marRight w:val="0"/>
      <w:marTop w:val="0"/>
      <w:marBottom w:val="0"/>
      <w:divBdr>
        <w:top w:val="none" w:sz="0" w:space="0" w:color="auto"/>
        <w:left w:val="none" w:sz="0" w:space="0" w:color="auto"/>
        <w:bottom w:val="none" w:sz="0" w:space="0" w:color="auto"/>
        <w:right w:val="none" w:sz="0" w:space="0" w:color="auto"/>
      </w:divBdr>
    </w:div>
    <w:div w:id="794834552">
      <w:bodyDiv w:val="1"/>
      <w:marLeft w:val="0"/>
      <w:marRight w:val="0"/>
      <w:marTop w:val="0"/>
      <w:marBottom w:val="0"/>
      <w:divBdr>
        <w:top w:val="none" w:sz="0" w:space="0" w:color="auto"/>
        <w:left w:val="none" w:sz="0" w:space="0" w:color="auto"/>
        <w:bottom w:val="none" w:sz="0" w:space="0" w:color="auto"/>
        <w:right w:val="none" w:sz="0" w:space="0" w:color="auto"/>
      </w:divBdr>
    </w:div>
    <w:div w:id="844058363">
      <w:bodyDiv w:val="1"/>
      <w:marLeft w:val="0"/>
      <w:marRight w:val="0"/>
      <w:marTop w:val="0"/>
      <w:marBottom w:val="0"/>
      <w:divBdr>
        <w:top w:val="none" w:sz="0" w:space="0" w:color="auto"/>
        <w:left w:val="none" w:sz="0" w:space="0" w:color="auto"/>
        <w:bottom w:val="none" w:sz="0" w:space="0" w:color="auto"/>
        <w:right w:val="none" w:sz="0" w:space="0" w:color="auto"/>
      </w:divBdr>
    </w:div>
    <w:div w:id="927421507">
      <w:bodyDiv w:val="1"/>
      <w:marLeft w:val="0"/>
      <w:marRight w:val="0"/>
      <w:marTop w:val="0"/>
      <w:marBottom w:val="0"/>
      <w:divBdr>
        <w:top w:val="none" w:sz="0" w:space="0" w:color="auto"/>
        <w:left w:val="none" w:sz="0" w:space="0" w:color="auto"/>
        <w:bottom w:val="none" w:sz="0" w:space="0" w:color="auto"/>
        <w:right w:val="none" w:sz="0" w:space="0" w:color="auto"/>
      </w:divBdr>
    </w:div>
    <w:div w:id="1199396209">
      <w:bodyDiv w:val="1"/>
      <w:marLeft w:val="0"/>
      <w:marRight w:val="0"/>
      <w:marTop w:val="0"/>
      <w:marBottom w:val="0"/>
      <w:divBdr>
        <w:top w:val="none" w:sz="0" w:space="0" w:color="auto"/>
        <w:left w:val="none" w:sz="0" w:space="0" w:color="auto"/>
        <w:bottom w:val="none" w:sz="0" w:space="0" w:color="auto"/>
        <w:right w:val="none" w:sz="0" w:space="0" w:color="auto"/>
      </w:divBdr>
    </w:div>
    <w:div w:id="1243367610">
      <w:bodyDiv w:val="1"/>
      <w:marLeft w:val="0"/>
      <w:marRight w:val="0"/>
      <w:marTop w:val="0"/>
      <w:marBottom w:val="0"/>
      <w:divBdr>
        <w:top w:val="none" w:sz="0" w:space="0" w:color="auto"/>
        <w:left w:val="none" w:sz="0" w:space="0" w:color="auto"/>
        <w:bottom w:val="none" w:sz="0" w:space="0" w:color="auto"/>
        <w:right w:val="none" w:sz="0" w:space="0" w:color="auto"/>
      </w:divBdr>
    </w:div>
    <w:div w:id="1382090848">
      <w:bodyDiv w:val="1"/>
      <w:marLeft w:val="0"/>
      <w:marRight w:val="0"/>
      <w:marTop w:val="0"/>
      <w:marBottom w:val="0"/>
      <w:divBdr>
        <w:top w:val="none" w:sz="0" w:space="0" w:color="auto"/>
        <w:left w:val="none" w:sz="0" w:space="0" w:color="auto"/>
        <w:bottom w:val="none" w:sz="0" w:space="0" w:color="auto"/>
        <w:right w:val="none" w:sz="0" w:space="0" w:color="auto"/>
      </w:divBdr>
    </w:div>
    <w:div w:id="1995333543">
      <w:bodyDiv w:val="1"/>
      <w:marLeft w:val="0"/>
      <w:marRight w:val="0"/>
      <w:marTop w:val="0"/>
      <w:marBottom w:val="0"/>
      <w:divBdr>
        <w:top w:val="none" w:sz="0" w:space="0" w:color="auto"/>
        <w:left w:val="none" w:sz="0" w:space="0" w:color="auto"/>
        <w:bottom w:val="none" w:sz="0" w:space="0" w:color="auto"/>
        <w:right w:val="none" w:sz="0" w:space="0" w:color="auto"/>
      </w:divBdr>
    </w:div>
    <w:div w:id="207520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slagelse-gym.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1CA51-2F34-414C-B0CE-B019A55D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1104</Words>
  <Characters>6738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Skabelon til procedure for indberetning</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procedure for indberetning</dc:title>
  <dc:subject/>
  <dc:creator>Christina Dyhr</dc:creator>
  <cp:keywords/>
  <dc:description/>
  <cp:lastModifiedBy>Lotte Büchert</cp:lastModifiedBy>
  <cp:revision>2</cp:revision>
  <dcterms:created xsi:type="dcterms:W3CDTF">2021-12-14T13:15:00Z</dcterms:created>
  <dcterms:modified xsi:type="dcterms:W3CDTF">2021-12-14T13:15:00Z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D21-49523</vt:lpwstr>
  </property>
  <property fmtid="{D5CDD505-2E9C-101B-9397-08002B2CF9AE}" pid="3" name="Dato">
    <vt:lpwstr/>
  </property>
  <property fmtid="{D5CDD505-2E9C-101B-9397-08002B2CF9AE}" pid="4" name="AfsenderNavn">
    <vt:lpwstr>Sine Dreyer Skjoldan</vt:lpwstr>
  </property>
  <property fmtid="{D5CDD505-2E9C-101B-9397-08002B2CF9AE}" pid="5" name="AfsenderStilling">
    <vt:lpwstr>Juridisk chefkonsulent</vt:lpwstr>
  </property>
  <property fmtid="{D5CDD505-2E9C-101B-9397-08002B2CF9AE}" pid="6" name="AfsenderInit">
    <vt:lpwstr/>
  </property>
  <property fmtid="{D5CDD505-2E9C-101B-9397-08002B2CF9AE}" pid="7" name="AfsenderTlf">
    <vt:lpwstr>33188273</vt:lpwstr>
  </property>
  <property fmtid="{D5CDD505-2E9C-101B-9397-08002B2CF9AE}" pid="8" name="sagsnummer">
    <vt:lpwstr>S21-2031</vt:lpwstr>
  </property>
  <property fmtid="{D5CDD505-2E9C-101B-9397-08002B2CF9AE}" pid="9" name="Author">
    <vt:lpwstr>Christina Dyhr</vt:lpwstr>
  </property>
  <property fmtid="{D5CDD505-2E9C-101B-9397-08002B2CF9AE}" pid="10" name="Title">
    <vt:lpwstr>Skabelon til procedure for indberetning</vt:lpwstr>
  </property>
  <property fmtid="{D5CDD505-2E9C-101B-9397-08002B2CF9AE}" pid="11" name="Comments">
    <vt:lpwstr/>
  </property>
</Properties>
</file>